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660E" w14:textId="2F08DF51" w:rsidR="002449D0" w:rsidRPr="002449D0" w:rsidRDefault="002449D0" w:rsidP="002449D0">
      <w:pPr>
        <w:spacing w:after="390" w:line="240" w:lineRule="auto"/>
        <w:jc w:val="center"/>
        <w:outlineLvl w:val="0"/>
        <w:rPr>
          <w:rFonts w:ascii="Corbel" w:eastAsia="Times New Roman" w:hAnsi="Corbel" w:cs="Times New Roman"/>
          <w:b/>
          <w:bCs/>
          <w:color w:val="000000" w:themeColor="text1"/>
          <w:kern w:val="36"/>
          <w:sz w:val="42"/>
          <w:szCs w:val="42"/>
          <w:lang w:eastAsia="pl-PL"/>
        </w:rPr>
      </w:pPr>
      <w:r w:rsidRPr="002449D0">
        <w:rPr>
          <w:rFonts w:ascii="Corbel" w:eastAsia="Times New Roman" w:hAnsi="Corbel" w:cs="Times New Roman"/>
          <w:b/>
          <w:bCs/>
          <w:color w:val="000000" w:themeColor="text1"/>
          <w:kern w:val="36"/>
          <w:sz w:val="42"/>
          <w:szCs w:val="42"/>
          <w:lang w:eastAsia="pl-PL"/>
        </w:rPr>
        <w:t>Prawa pasażerów w transporcie autobusowym</w:t>
      </w:r>
      <w:r>
        <w:rPr>
          <w:rFonts w:ascii="Corbel" w:eastAsia="Times New Roman" w:hAnsi="Corbel" w:cs="Times New Roman"/>
          <w:b/>
          <w:bCs/>
          <w:color w:val="000000" w:themeColor="text1"/>
          <w:kern w:val="36"/>
          <w:sz w:val="42"/>
          <w:szCs w:val="42"/>
          <w:lang w:eastAsia="pl-PL"/>
        </w:rPr>
        <w:br/>
      </w:r>
      <w:r w:rsidRPr="002449D0">
        <w:rPr>
          <w:rFonts w:ascii="Corbel" w:eastAsia="Times New Roman" w:hAnsi="Corbel" w:cs="Times New Roman"/>
          <w:b/>
          <w:bCs/>
          <w:color w:val="000000" w:themeColor="text1"/>
          <w:kern w:val="36"/>
          <w:sz w:val="42"/>
          <w:szCs w:val="42"/>
          <w:lang w:eastAsia="pl-PL"/>
        </w:rPr>
        <w:t>i autokarowym</w:t>
      </w:r>
    </w:p>
    <w:p w14:paraId="6A4BD993" w14:textId="036D0CBA" w:rsidR="002449D0" w:rsidRPr="002449D0" w:rsidRDefault="002449D0" w:rsidP="002449D0">
      <w:pPr>
        <w:spacing w:before="195" w:after="0" w:line="240" w:lineRule="auto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Pasażerowie, w tym osoby niepełnosprawne i o ograniczonej sprawności ruchowej, podróżując autobusem lub autokarem mają takie same prawa w całej Unii Europejskiej (UE). Te prawa, w tym prawo do informacji lub odszkodowania</w:t>
      </w:r>
      <w:r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br/>
      </w: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 xml:space="preserve">w przypadku opóźnienia lub odwołania, </w:t>
      </w:r>
      <w:r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 xml:space="preserve">gwarantuje </w:t>
      </w:r>
      <w:r w:rsidRPr="002449D0">
        <w:rPr>
          <w:rFonts w:ascii="Corbel" w:eastAsia="Times New Roman" w:hAnsi="Corbel" w:cs="Times New Roman"/>
          <w:i/>
          <w:iCs/>
          <w:color w:val="000000" w:themeColor="text1"/>
          <w:sz w:val="27"/>
          <w:szCs w:val="27"/>
          <w:lang w:eastAsia="pl-PL"/>
        </w:rPr>
        <w:t>Rozporządzenie Parlamentu Europejskiego i Rady (UE) nr </w:t>
      </w:r>
      <w:hyperlink r:id="rId5" w:history="1">
        <w:r w:rsidRPr="002449D0">
          <w:rPr>
            <w:rFonts w:ascii="Corbel" w:eastAsia="Times New Roman" w:hAnsi="Corbel" w:cs="Times New Roman"/>
            <w:i/>
            <w:iCs/>
            <w:color w:val="000000" w:themeColor="text1"/>
            <w:sz w:val="27"/>
            <w:szCs w:val="27"/>
            <w:u w:val="single"/>
            <w:lang w:eastAsia="pl-PL"/>
          </w:rPr>
          <w:t>181/2011</w:t>
        </w:r>
      </w:hyperlink>
      <w:r w:rsidRPr="002449D0">
        <w:rPr>
          <w:rFonts w:ascii="Corbel" w:eastAsia="Times New Roman" w:hAnsi="Corbel" w:cs="Times New Roman"/>
          <w:i/>
          <w:iCs/>
          <w:color w:val="000000" w:themeColor="text1"/>
          <w:sz w:val="27"/>
          <w:szCs w:val="27"/>
          <w:lang w:eastAsia="pl-PL"/>
        </w:rPr>
        <w:t> z dnia 16 lutego 2011 r. dotyczące praw pasażerów w transporcie autobusowym i autokarowym oraz zmieniające rozporządzenie (WE) nr 2006/2004</w:t>
      </w:r>
      <w:r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.</w:t>
      </w:r>
    </w:p>
    <w:p w14:paraId="23C6DCBA" w14:textId="77777777" w:rsidR="002449D0" w:rsidRPr="002449D0" w:rsidRDefault="002449D0" w:rsidP="002449D0">
      <w:pPr>
        <w:spacing w:before="390" w:after="195" w:line="240" w:lineRule="auto"/>
        <w:outlineLvl w:val="1"/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  <w:t>JAKIE SĄ CELE NINIEJSZEGO ROZPORZĄDZENIA?</w:t>
      </w:r>
    </w:p>
    <w:p w14:paraId="1F0E81AC" w14:textId="22B163B4" w:rsidR="002449D0" w:rsidRPr="002449D0" w:rsidRDefault="002449D0" w:rsidP="002449D0">
      <w:pPr>
        <w:spacing w:before="195" w:after="0" w:line="240" w:lineRule="auto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Niniejsze rozporządzenie ustanawia zasady transportu autobusowego</w:t>
      </w:r>
      <w:r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br/>
      </w: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i autokarowego w ramach usług regularnych* dla pasażerów podróżujących wewnątrz UE na trasach o długości co najmniej 250 km. Niektóre postanowienia rozporządzenia mają zastosowanie do wszystkich usług, także do usług wykonywanych na krótszych dystansach.</w:t>
      </w:r>
    </w:p>
    <w:p w14:paraId="0A915C82" w14:textId="77777777" w:rsidR="002449D0" w:rsidRPr="002449D0" w:rsidRDefault="002449D0" w:rsidP="002449D0">
      <w:pPr>
        <w:spacing w:before="390" w:after="195" w:line="240" w:lineRule="auto"/>
        <w:outlineLvl w:val="1"/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  <w:t>KLUCZOWE ZAGADNIENIA</w:t>
      </w:r>
    </w:p>
    <w:p w14:paraId="527420E9" w14:textId="1A47A495" w:rsidR="002449D0" w:rsidRPr="002449D0" w:rsidRDefault="002449D0" w:rsidP="002449D0">
      <w:pPr>
        <w:spacing w:before="195" w:after="0" w:line="240" w:lineRule="auto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Odnośnie do usług na trasach o długości mniejszej niż 250 km niniejsze rozporządzenie przewiduje:</w:t>
      </w:r>
    </w:p>
    <w:p w14:paraId="4C1F7BC9" w14:textId="5B781924" w:rsidR="002449D0" w:rsidRPr="002449D0" w:rsidRDefault="002449D0" w:rsidP="005C339F">
      <w:pPr>
        <w:numPr>
          <w:ilvl w:val="0"/>
          <w:numId w:val="2"/>
        </w:numPr>
        <w:spacing w:before="240" w:after="240" w:line="240" w:lineRule="auto"/>
        <w:ind w:left="1200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  <w:t>niedyskryminowanie</w:t>
      </w: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 ze względu na obywatelstwo odnośnie do cen</w:t>
      </w:r>
      <w:r w:rsidR="00FF079D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br/>
      </w: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i warunków umownych;</w:t>
      </w:r>
    </w:p>
    <w:p w14:paraId="6EDCB27F" w14:textId="77777777" w:rsidR="002449D0" w:rsidRPr="002449D0" w:rsidRDefault="002449D0" w:rsidP="005C339F">
      <w:pPr>
        <w:numPr>
          <w:ilvl w:val="0"/>
          <w:numId w:val="2"/>
        </w:numPr>
        <w:spacing w:before="240" w:after="240" w:line="240" w:lineRule="auto"/>
        <w:ind w:left="1200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traktowanie </w:t>
      </w:r>
      <w:r w:rsidRPr="002449D0"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  <w:t>osób niepełnosprawnych i o ograniczonej sprawności ruchowej</w:t>
      </w: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 w sposób niedyskryminujący, a także odszkodowanie za utratę lub uszkodzenie sprzętu służącego do poruszania się w razie wypadku;</w:t>
      </w:r>
    </w:p>
    <w:p w14:paraId="23B8A23B" w14:textId="5B11B6CF" w:rsidR="002449D0" w:rsidRPr="002449D0" w:rsidRDefault="002449D0" w:rsidP="005C339F">
      <w:pPr>
        <w:numPr>
          <w:ilvl w:val="0"/>
          <w:numId w:val="2"/>
        </w:numPr>
        <w:spacing w:before="240" w:after="240" w:line="240" w:lineRule="auto"/>
        <w:ind w:left="1200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minimalne zasady przekazywania </w:t>
      </w:r>
      <w:r w:rsidRPr="002449D0"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  <w:t>informacji dotyczących podróży</w:t>
      </w: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 xml:space="preserve"> dla wszystkich pasażerów przed podróżą i w jej trakcie, a także informacje ogólne dotyczące ich praw dostępne na terminalach i w </w:t>
      </w:r>
      <w:r w:rsidR="00FF079D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I</w:t>
      </w: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nternecie;</w:t>
      </w:r>
    </w:p>
    <w:p w14:paraId="7D348114" w14:textId="76E27263" w:rsidR="002449D0" w:rsidRPr="002449D0" w:rsidRDefault="002449D0" w:rsidP="005C339F">
      <w:pPr>
        <w:numPr>
          <w:ilvl w:val="0"/>
          <w:numId w:val="2"/>
        </w:numPr>
        <w:spacing w:before="240" w:after="240" w:line="240" w:lineRule="auto"/>
        <w:ind w:left="1200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  <w:t>mechanizm rozpatrywania skarg</w:t>
      </w: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 opracowany przez przewoźników</w:t>
      </w:r>
      <w:r w:rsidR="005C339F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br/>
      </w: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i dostępny dla wszystkich pasażerów;</w:t>
      </w:r>
    </w:p>
    <w:p w14:paraId="6248DFB0" w14:textId="77777777" w:rsidR="002449D0" w:rsidRPr="002449D0" w:rsidRDefault="002449D0" w:rsidP="005C339F">
      <w:pPr>
        <w:numPr>
          <w:ilvl w:val="0"/>
          <w:numId w:val="2"/>
        </w:numPr>
        <w:spacing w:before="240" w:after="240" w:line="240" w:lineRule="auto"/>
        <w:ind w:left="1200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niezależne organy krajowe w każdym kraju UE posiadające prawo </w:t>
      </w:r>
      <w:r w:rsidRPr="002449D0"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  <w:t>egzekwowania</w:t>
      </w: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 rozporządzenia i, w stosownych przypadkach, nakładania sankcji.</w:t>
      </w:r>
    </w:p>
    <w:p w14:paraId="20BA53DB" w14:textId="77777777" w:rsidR="002449D0" w:rsidRPr="002449D0" w:rsidRDefault="002449D0" w:rsidP="002449D0">
      <w:pPr>
        <w:spacing w:before="195" w:after="0" w:line="240" w:lineRule="auto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lastRenderedPageBreak/>
        <w:t xml:space="preserve">Niniejsze rozporządzenie przewiduje możliwość </w:t>
      </w:r>
      <w:proofErr w:type="spellStart"/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wyłączeń</w:t>
      </w:r>
      <w:proofErr w:type="spellEnd"/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 xml:space="preserve"> dla krajowych usług regularnych i dla usług regularnych, których znacząca część jest świadczona poza UE.</w:t>
      </w:r>
    </w:p>
    <w:p w14:paraId="272FC822" w14:textId="77777777" w:rsidR="002449D0" w:rsidRPr="002449D0" w:rsidRDefault="002449D0" w:rsidP="002449D0">
      <w:pPr>
        <w:spacing w:before="390" w:after="195" w:line="240" w:lineRule="auto"/>
        <w:outlineLvl w:val="1"/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  <w:t>OD KIEDY NINIEJSZE ROZPORZĄDZENIE MA ZASTOSOWANIE?</w:t>
      </w:r>
    </w:p>
    <w:p w14:paraId="6F1D9671" w14:textId="77777777" w:rsidR="002449D0" w:rsidRPr="002449D0" w:rsidRDefault="002449D0" w:rsidP="002449D0">
      <w:pPr>
        <w:spacing w:before="195" w:after="0" w:line="240" w:lineRule="auto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Od dnia 1 marca 2013 r.</w:t>
      </w:r>
    </w:p>
    <w:p w14:paraId="5D2161F0" w14:textId="77777777" w:rsidR="002449D0" w:rsidRPr="002449D0" w:rsidRDefault="002449D0" w:rsidP="002449D0">
      <w:pPr>
        <w:spacing w:before="390" w:after="195" w:line="240" w:lineRule="auto"/>
        <w:outlineLvl w:val="1"/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  <w:t>KONTEKST</w:t>
      </w:r>
    </w:p>
    <w:p w14:paraId="64B71BD0" w14:textId="091E1315" w:rsidR="002449D0" w:rsidRPr="002449D0" w:rsidRDefault="005C339F" w:rsidP="002449D0">
      <w:pPr>
        <w:spacing w:before="195" w:after="0" w:line="240" w:lineRule="auto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hyperlink r:id="rId6" w:history="1">
        <w:r w:rsidR="002449D0" w:rsidRPr="002449D0">
          <w:rPr>
            <w:rFonts w:ascii="Corbel" w:eastAsia="Times New Roman" w:hAnsi="Corbel" w:cs="Times New Roman"/>
            <w:color w:val="000000" w:themeColor="text1"/>
            <w:sz w:val="27"/>
            <w:szCs w:val="27"/>
            <w:u w:val="single"/>
            <w:lang w:eastAsia="pl-PL"/>
          </w:rPr>
          <w:t>Strona internetowa Komisji Europejskiej dotycząca praw pasażerów aut</w:t>
        </w:r>
        <w:r w:rsidR="002449D0" w:rsidRPr="002449D0">
          <w:rPr>
            <w:rFonts w:ascii="Corbel" w:eastAsia="Times New Roman" w:hAnsi="Corbel" w:cs="Times New Roman"/>
            <w:color w:val="000000" w:themeColor="text1"/>
            <w:sz w:val="27"/>
            <w:szCs w:val="27"/>
            <w:u w:val="single"/>
            <w:lang w:eastAsia="pl-PL"/>
          </w:rPr>
          <w:t>o</w:t>
        </w:r>
        <w:r w:rsidR="002449D0" w:rsidRPr="002449D0">
          <w:rPr>
            <w:rFonts w:ascii="Corbel" w:eastAsia="Times New Roman" w:hAnsi="Corbel" w:cs="Times New Roman"/>
            <w:color w:val="000000" w:themeColor="text1"/>
            <w:sz w:val="27"/>
            <w:szCs w:val="27"/>
            <w:u w:val="single"/>
            <w:lang w:eastAsia="pl-PL"/>
          </w:rPr>
          <w:t>busów</w:t>
        </w:r>
        <w:r>
          <w:rPr>
            <w:rFonts w:ascii="Corbel" w:eastAsia="Times New Roman" w:hAnsi="Corbel" w:cs="Times New Roman"/>
            <w:color w:val="000000" w:themeColor="text1"/>
            <w:sz w:val="27"/>
            <w:szCs w:val="27"/>
            <w:u w:val="single"/>
            <w:lang w:eastAsia="pl-PL"/>
          </w:rPr>
          <w:br/>
        </w:r>
        <w:r w:rsidR="002449D0" w:rsidRPr="002449D0">
          <w:rPr>
            <w:rFonts w:ascii="Corbel" w:eastAsia="Times New Roman" w:hAnsi="Corbel" w:cs="Times New Roman"/>
            <w:color w:val="000000" w:themeColor="text1"/>
            <w:sz w:val="27"/>
            <w:szCs w:val="27"/>
            <w:u w:val="single"/>
            <w:lang w:eastAsia="pl-PL"/>
          </w:rPr>
          <w:t>i autokarów</w:t>
        </w:r>
      </w:hyperlink>
    </w:p>
    <w:p w14:paraId="5FB2DC6B" w14:textId="77777777" w:rsidR="002449D0" w:rsidRPr="002449D0" w:rsidRDefault="002449D0" w:rsidP="002449D0">
      <w:pPr>
        <w:spacing w:before="195" w:after="0" w:line="240" w:lineRule="auto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W związku z wybuchem epidemii COVID-19 i wprowadzeniem środków w celu łagodzenia skutków kryzysu Komisja Europejska przyjęła:</w:t>
      </w:r>
    </w:p>
    <w:p w14:paraId="6BBED740" w14:textId="77777777" w:rsidR="002449D0" w:rsidRPr="002449D0" w:rsidRDefault="005C339F" w:rsidP="005C339F">
      <w:pPr>
        <w:numPr>
          <w:ilvl w:val="0"/>
          <w:numId w:val="3"/>
        </w:numPr>
        <w:spacing w:before="240" w:after="240" w:line="240" w:lineRule="auto"/>
        <w:ind w:left="1200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hyperlink r:id="rId7" w:history="1">
        <w:r w:rsidR="002449D0" w:rsidRPr="002449D0">
          <w:rPr>
            <w:rFonts w:ascii="Corbel" w:eastAsia="Times New Roman" w:hAnsi="Corbel" w:cs="Times New Roman"/>
            <w:color w:val="000000" w:themeColor="text1"/>
            <w:sz w:val="27"/>
            <w:szCs w:val="27"/>
            <w:u w:val="single"/>
            <w:lang w:eastAsia="pl-PL"/>
          </w:rPr>
          <w:t>Zawiadomienie Komisji Wytyczne interpretacyjne dotyczące przepisów UE w zakresie praw pasażerów w kontekście rozwoju sytuacji w związku z Covid-19</w:t>
        </w:r>
      </w:hyperlink>
    </w:p>
    <w:p w14:paraId="13549F0D" w14:textId="77777777" w:rsidR="002449D0" w:rsidRPr="002449D0" w:rsidRDefault="005C339F" w:rsidP="005C339F">
      <w:pPr>
        <w:numPr>
          <w:ilvl w:val="0"/>
          <w:numId w:val="3"/>
        </w:numPr>
        <w:spacing w:before="240" w:after="240" w:line="240" w:lineRule="auto"/>
        <w:ind w:left="1200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hyperlink r:id="rId8" w:history="1">
        <w:r w:rsidR="002449D0" w:rsidRPr="002449D0">
          <w:rPr>
            <w:rFonts w:ascii="Corbel" w:eastAsia="Times New Roman" w:hAnsi="Corbel" w:cs="Times New Roman"/>
            <w:color w:val="000000" w:themeColor="text1"/>
            <w:sz w:val="27"/>
            <w:szCs w:val="27"/>
            <w:u w:val="single"/>
            <w:lang w:eastAsia="pl-PL"/>
          </w:rPr>
          <w:t>Zalecenie Komisji (UE) 2020/648 z dnia 13 maja 2020 r. w sprawie bonów oferowanych pasażerom i podróżnym jako alternatywa dla zwrotu pieniędzy za odwołane imprezy turystyczne i usługi transportowe w kontekście pandemii COVID-19</w:t>
        </w:r>
      </w:hyperlink>
    </w:p>
    <w:p w14:paraId="30665F4F" w14:textId="77777777" w:rsidR="002449D0" w:rsidRPr="002449D0" w:rsidRDefault="002449D0" w:rsidP="002449D0">
      <w:pPr>
        <w:spacing w:before="390" w:after="195" w:line="240" w:lineRule="auto"/>
        <w:outlineLvl w:val="1"/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  <w:t>KLUCZOWE POJĘCIA</w:t>
      </w:r>
    </w:p>
    <w:p w14:paraId="62632C45" w14:textId="77777777" w:rsidR="002449D0" w:rsidRPr="002449D0" w:rsidRDefault="002449D0" w:rsidP="002449D0">
      <w:pPr>
        <w:spacing w:before="195" w:after="0" w:line="240" w:lineRule="auto"/>
        <w:jc w:val="both"/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</w:pPr>
      <w:r w:rsidRPr="002449D0">
        <w:rPr>
          <w:rFonts w:ascii="Corbel" w:eastAsia="Times New Roman" w:hAnsi="Corbel" w:cs="Times New Roman"/>
          <w:b/>
          <w:bCs/>
          <w:color w:val="000000" w:themeColor="text1"/>
          <w:sz w:val="27"/>
          <w:szCs w:val="27"/>
          <w:lang w:eastAsia="pl-PL"/>
        </w:rPr>
        <w:t>*Usługi regularne</w:t>
      </w:r>
      <w:r w:rsidRPr="002449D0">
        <w:rPr>
          <w:rFonts w:ascii="Corbel" w:eastAsia="Times New Roman" w:hAnsi="Corbel" w:cs="Times New Roman"/>
          <w:color w:val="000000" w:themeColor="text1"/>
          <w:sz w:val="27"/>
          <w:szCs w:val="27"/>
          <w:lang w:eastAsia="pl-PL"/>
        </w:rPr>
        <w:t>: zwykłe usługi przewozu pasażerów autobusami i autokarami na określonych trasach, zatrzymującymi się na z góry określonych przystankach.</w:t>
      </w:r>
    </w:p>
    <w:p w14:paraId="6755DC66" w14:textId="77777777" w:rsidR="00712DAA" w:rsidRPr="002449D0" w:rsidRDefault="00712DAA">
      <w:pPr>
        <w:rPr>
          <w:rFonts w:ascii="Corbel" w:hAnsi="Corbel"/>
          <w:color w:val="000000" w:themeColor="text1"/>
        </w:rPr>
      </w:pPr>
    </w:p>
    <w:sectPr w:rsidR="00712DAA" w:rsidRPr="0024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F6235"/>
    <w:multiLevelType w:val="multilevel"/>
    <w:tmpl w:val="D2A4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61D67"/>
    <w:multiLevelType w:val="multilevel"/>
    <w:tmpl w:val="49C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E3EED"/>
    <w:multiLevelType w:val="multilevel"/>
    <w:tmpl w:val="7862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6103948">
    <w:abstractNumId w:val="1"/>
  </w:num>
  <w:num w:numId="2" w16cid:durableId="1966276700">
    <w:abstractNumId w:val="0"/>
  </w:num>
  <w:num w:numId="3" w16cid:durableId="1880587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D0"/>
    <w:rsid w:val="002449D0"/>
    <w:rsid w:val="002C1683"/>
    <w:rsid w:val="0042314A"/>
    <w:rsid w:val="005C339F"/>
    <w:rsid w:val="00712DAA"/>
    <w:rsid w:val="00C7592C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FABB"/>
  <w15:chartTrackingRefBased/>
  <w15:docId w15:val="{A99ACEF1-4194-47C2-8E91-B9FFAD39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44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44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49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449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24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449D0"/>
    <w:rPr>
      <w:color w:val="0000FF"/>
      <w:u w:val="single"/>
    </w:rPr>
  </w:style>
  <w:style w:type="character" w:customStyle="1" w:styleId="bold">
    <w:name w:val="bold"/>
    <w:basedOn w:val="Domylnaczcionkaakapitu"/>
    <w:rsid w:val="0024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AUTO/?uri=celex:32020H06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AUTO/?uri=celex:52020XC0318(04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opa.eu/youreurope/citizens/travel/passenger-rights/bus-and-coach/index_pl.htm" TargetMode="External"/><Relationship Id="rId5" Type="http://schemas.openxmlformats.org/officeDocument/2006/relationships/hyperlink" Target="https://eur-lex.europa.eu/legal-content/PL/AUTO/?uri=celex:32011R01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Trzop</dc:creator>
  <cp:keywords/>
  <dc:description/>
  <cp:lastModifiedBy>Anna Trzop</cp:lastModifiedBy>
  <cp:revision>2</cp:revision>
  <dcterms:created xsi:type="dcterms:W3CDTF">2022-05-16T11:22:00Z</dcterms:created>
  <dcterms:modified xsi:type="dcterms:W3CDTF">2022-05-19T07:50:00Z</dcterms:modified>
</cp:coreProperties>
</file>